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BD" w:rsidRDefault="002A07BD" w:rsidP="002A07BD">
      <w:pPr>
        <w:spacing w:line="239" w:lineRule="auto"/>
        <w:rPr>
          <w:rFonts w:ascii="Cambria" w:eastAsia="Cambria" w:hAnsi="Cambria"/>
          <w:color w:val="17365D"/>
          <w:sz w:val="52"/>
        </w:rPr>
      </w:pPr>
    </w:p>
    <w:p w:rsidR="002A07BD" w:rsidRPr="004F375A" w:rsidRDefault="002A07BD" w:rsidP="002A07BD">
      <w:pPr>
        <w:jc w:val="center"/>
        <w:rPr>
          <w:rFonts w:asciiTheme="majorHAnsi" w:hAnsiTheme="majorHAnsi"/>
          <w:b/>
          <w:color w:val="0070C0"/>
          <w:sz w:val="32"/>
          <w:szCs w:val="32"/>
          <w:lang w:val="lt-LT"/>
        </w:rPr>
      </w:pPr>
      <w:proofErr w:type="spellStart"/>
      <w:r w:rsidRPr="004F375A">
        <w:rPr>
          <w:rFonts w:asciiTheme="majorHAnsi" w:hAnsiTheme="majorHAnsi"/>
          <w:b/>
          <w:color w:val="0070C0"/>
          <w:sz w:val="32"/>
          <w:szCs w:val="32"/>
          <w:lang w:val="lt-LT"/>
        </w:rPr>
        <w:t>Lithuanian</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experience</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skills</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and</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capabilities</w:t>
      </w:r>
      <w:proofErr w:type="spellEnd"/>
      <w:r w:rsidRPr="004F375A">
        <w:rPr>
          <w:rFonts w:asciiTheme="majorHAnsi" w:hAnsiTheme="majorHAnsi"/>
          <w:b/>
          <w:color w:val="0070C0"/>
          <w:sz w:val="32"/>
          <w:szCs w:val="32"/>
          <w:lang w:val="lt-LT"/>
        </w:rPr>
        <w:t xml:space="preserve"> to </w:t>
      </w:r>
      <w:proofErr w:type="spellStart"/>
      <w:r w:rsidRPr="004F375A">
        <w:rPr>
          <w:rFonts w:asciiTheme="majorHAnsi" w:hAnsiTheme="majorHAnsi"/>
          <w:b/>
          <w:color w:val="0070C0"/>
          <w:sz w:val="32"/>
          <w:szCs w:val="32"/>
          <w:lang w:val="lt-LT"/>
        </w:rPr>
        <w:t>provide</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assistance</w:t>
      </w:r>
      <w:proofErr w:type="spellEnd"/>
      <w:r w:rsidRPr="004F375A">
        <w:rPr>
          <w:rFonts w:asciiTheme="majorHAnsi" w:hAnsiTheme="majorHAnsi"/>
          <w:b/>
          <w:color w:val="0070C0"/>
          <w:sz w:val="32"/>
          <w:szCs w:val="32"/>
          <w:lang w:val="lt-LT"/>
        </w:rPr>
        <w:t xml:space="preserve"> to </w:t>
      </w:r>
      <w:proofErr w:type="spellStart"/>
      <w:r w:rsidRPr="004F375A">
        <w:rPr>
          <w:rFonts w:asciiTheme="majorHAnsi" w:hAnsiTheme="majorHAnsi"/>
          <w:b/>
          <w:color w:val="0070C0"/>
          <w:sz w:val="32"/>
          <w:szCs w:val="32"/>
          <w:lang w:val="lt-LT"/>
        </w:rPr>
        <w:t>war</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refugees</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and</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humanitarian</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asylum</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countries</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assessment</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and</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development</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Jordan</w:t>
      </w:r>
      <w:proofErr w:type="spellEnd"/>
      <w:r w:rsidRPr="004F375A">
        <w:rPr>
          <w:rFonts w:asciiTheme="majorHAnsi" w:hAnsiTheme="majorHAnsi"/>
          <w:b/>
          <w:color w:val="0070C0"/>
          <w:sz w:val="32"/>
          <w:szCs w:val="32"/>
          <w:lang w:val="lt-LT"/>
        </w:rPr>
        <w:t xml:space="preserve"> </w:t>
      </w:r>
      <w:proofErr w:type="spellStart"/>
      <w:r w:rsidRPr="004F375A">
        <w:rPr>
          <w:rFonts w:asciiTheme="majorHAnsi" w:hAnsiTheme="majorHAnsi"/>
          <w:b/>
          <w:color w:val="0070C0"/>
          <w:sz w:val="32"/>
          <w:szCs w:val="32"/>
          <w:lang w:val="lt-LT"/>
        </w:rPr>
        <w:t>case</w:t>
      </w:r>
      <w:proofErr w:type="spellEnd"/>
    </w:p>
    <w:p w:rsidR="002A07BD" w:rsidRPr="002A07BD" w:rsidRDefault="002A07BD" w:rsidP="002A07BD">
      <w:pPr>
        <w:jc w:val="center"/>
        <w:rPr>
          <w:color w:val="0070C0"/>
          <w:sz w:val="32"/>
          <w:szCs w:val="32"/>
          <w:lang w:val="lt-LT"/>
        </w:rPr>
      </w:pPr>
    </w:p>
    <w:p w:rsidR="002A07BD" w:rsidRDefault="002A07BD" w:rsidP="002A07BD">
      <w:pPr>
        <w:spacing w:line="239" w:lineRule="auto"/>
        <w:jc w:val="center"/>
        <w:rPr>
          <w:rFonts w:ascii="Cambria" w:eastAsia="Cambria" w:hAnsi="Cambria"/>
          <w:color w:val="17365D"/>
          <w:sz w:val="52"/>
        </w:rPr>
      </w:pPr>
      <w:bookmarkStart w:id="0" w:name="OLE_LINK73"/>
      <w:bookmarkStart w:id="1" w:name="OLE_LINK74"/>
      <w:r>
        <w:rPr>
          <w:rFonts w:ascii="Cambria" w:eastAsia="Cambria" w:hAnsi="Cambria"/>
          <w:color w:val="17365D"/>
          <w:sz w:val="52"/>
        </w:rPr>
        <w:t>Recommendations</w:t>
      </w:r>
    </w:p>
    <w:p w:rsidR="008A375F" w:rsidRDefault="000C01F2"/>
    <w:p w:rsidR="002A07BD" w:rsidRDefault="002A07BD"/>
    <w:p w:rsidR="002A07BD" w:rsidRPr="002A07BD" w:rsidRDefault="002A07BD" w:rsidP="002A07BD">
      <w:pPr>
        <w:spacing w:line="360" w:lineRule="auto"/>
        <w:jc w:val="center"/>
        <w:rPr>
          <w:rFonts w:ascii="Cambria" w:eastAsia="Cambria" w:hAnsi="Cambria"/>
          <w:b/>
          <w:color w:val="0070C0"/>
          <w:sz w:val="28"/>
          <w:szCs w:val="28"/>
        </w:rPr>
      </w:pPr>
      <w:r w:rsidRPr="002A07BD">
        <w:rPr>
          <w:rFonts w:ascii="Cambria" w:eastAsia="Cambria" w:hAnsi="Cambria"/>
          <w:b/>
          <w:color w:val="0070C0"/>
          <w:sz w:val="28"/>
          <w:szCs w:val="28"/>
        </w:rPr>
        <w:t>Approach</w:t>
      </w:r>
    </w:p>
    <w:bookmarkEnd w:id="0"/>
    <w:bookmarkEnd w:id="1"/>
    <w:p w:rsidR="002A07BD" w:rsidRPr="002A07BD" w:rsidRDefault="002A07BD" w:rsidP="002A07BD">
      <w:pPr>
        <w:spacing w:line="360" w:lineRule="auto"/>
        <w:rPr>
          <w:sz w:val="24"/>
          <w:szCs w:val="24"/>
        </w:rPr>
      </w:pPr>
    </w:p>
    <w:p w:rsidR="002A07BD" w:rsidRPr="002A07BD" w:rsidRDefault="002A07BD" w:rsidP="002A07BD">
      <w:pPr>
        <w:spacing w:line="360" w:lineRule="auto"/>
        <w:jc w:val="both"/>
        <w:rPr>
          <w:rFonts w:ascii="Cambria" w:eastAsia="Cambria" w:hAnsi="Cambria"/>
          <w:sz w:val="24"/>
          <w:szCs w:val="24"/>
        </w:rPr>
      </w:pPr>
      <w:r w:rsidRPr="002A07BD">
        <w:rPr>
          <w:rFonts w:ascii="Cambria" w:eastAsia="Cambria" w:hAnsi="Cambria"/>
          <w:sz w:val="24"/>
          <w:szCs w:val="24"/>
        </w:rPr>
        <w:t xml:space="preserve">17 years. That is how long, on average, refugees are uprooted from their Land. As presented in the assessment above, the situation of Land. As presented in the assessment above, the situation of refugees </w:t>
      </w:r>
      <w:proofErr w:type="gramStart"/>
      <w:r w:rsidRPr="002A07BD">
        <w:rPr>
          <w:rFonts w:ascii="Cambria" w:eastAsia="Cambria" w:hAnsi="Cambria"/>
          <w:sz w:val="24"/>
          <w:szCs w:val="24"/>
        </w:rPr>
        <w:t>is  extremely</w:t>
      </w:r>
      <w:proofErr w:type="gramEnd"/>
      <w:r w:rsidRPr="002A07BD">
        <w:rPr>
          <w:rFonts w:ascii="Cambria" w:eastAsia="Cambria" w:hAnsi="Cambria"/>
          <w:sz w:val="24"/>
          <w:szCs w:val="24"/>
        </w:rPr>
        <w:t xml:space="preserve">  complex</w:t>
      </w:r>
      <w:r w:rsidRPr="002A07BD">
        <w:rPr>
          <w:rFonts w:ascii="Cambria" w:eastAsia="Cambria" w:hAnsi="Cambria"/>
          <w:sz w:val="24"/>
          <w:szCs w:val="24"/>
        </w:rPr>
        <w:tab/>
        <w:t xml:space="preserve">and destructive for individuals  and collective psyche. The war in Syrian does not seem to end any time soon, but once it does the country will enter extremely challenging process of </w:t>
      </w:r>
      <w:proofErr w:type="gramStart"/>
      <w:r w:rsidRPr="002A07BD">
        <w:rPr>
          <w:rFonts w:ascii="Cambria" w:eastAsia="Cambria" w:hAnsi="Cambria"/>
          <w:sz w:val="24"/>
          <w:szCs w:val="24"/>
        </w:rPr>
        <w:t>peoples</w:t>
      </w:r>
      <w:proofErr w:type="gramEnd"/>
      <w:r w:rsidRPr="002A07BD">
        <w:rPr>
          <w:rFonts w:ascii="Cambria" w:eastAsia="Cambria" w:hAnsi="Cambria"/>
          <w:sz w:val="24"/>
          <w:szCs w:val="24"/>
        </w:rPr>
        <w:t xml:space="preserve"> reconciliation, rebuilding infrastructure and reshaping policies. For that process to lead to sustainable post-conflict peace, there have to be a critical mass of determinate, critical</w:t>
      </w:r>
      <w:proofErr w:type="gramStart"/>
      <w:r w:rsidRPr="002A07BD">
        <w:rPr>
          <w:rFonts w:ascii="Cambria" w:eastAsia="Cambria" w:hAnsi="Cambria"/>
          <w:sz w:val="24"/>
          <w:szCs w:val="24"/>
        </w:rPr>
        <w:t>,  collaborative</w:t>
      </w:r>
      <w:proofErr w:type="gramEnd"/>
      <w:r w:rsidRPr="002A07BD">
        <w:rPr>
          <w:rFonts w:ascii="Cambria" w:eastAsia="Cambria" w:hAnsi="Cambria"/>
          <w:sz w:val="24"/>
          <w:szCs w:val="24"/>
        </w:rPr>
        <w:t>, educated and committed to</w:t>
      </w:r>
      <w:r w:rsidRPr="002A07BD">
        <w:rPr>
          <w:rFonts w:ascii="Cambria" w:eastAsia="Cambria" w:hAnsi="Cambria"/>
          <w:sz w:val="24"/>
          <w:szCs w:val="24"/>
        </w:rPr>
        <w:tab/>
        <w:t>peace</w:t>
      </w:r>
      <w:r w:rsidRPr="002A07BD">
        <w:rPr>
          <w:rFonts w:ascii="Cambria" w:eastAsia="Cambria" w:hAnsi="Cambria"/>
          <w:sz w:val="24"/>
          <w:szCs w:val="24"/>
        </w:rPr>
        <w:tab/>
        <w:t>people. Nonetheless,</w:t>
      </w:r>
      <w:r w:rsidRPr="002A07BD">
        <w:rPr>
          <w:rFonts w:ascii="Cambria" w:eastAsia="Cambria" w:hAnsi="Cambria"/>
          <w:sz w:val="24"/>
          <w:szCs w:val="24"/>
        </w:rPr>
        <w:tab/>
        <w:t xml:space="preserve"> too often humanitarian </w:t>
      </w:r>
      <w:proofErr w:type="gramStart"/>
      <w:r w:rsidRPr="002A07BD">
        <w:rPr>
          <w:rFonts w:ascii="Cambria" w:eastAsia="Cambria" w:hAnsi="Cambria"/>
          <w:sz w:val="24"/>
          <w:szCs w:val="24"/>
        </w:rPr>
        <w:t>interventions  do</w:t>
      </w:r>
      <w:proofErr w:type="gramEnd"/>
      <w:r w:rsidRPr="002A07BD">
        <w:rPr>
          <w:rFonts w:ascii="Cambria" w:eastAsia="Cambria" w:hAnsi="Cambria"/>
          <w:sz w:val="24"/>
          <w:szCs w:val="24"/>
        </w:rPr>
        <w:t xml:space="preserve">  not  help  to  developed  mentioned  qualities.  For</w:t>
      </w:r>
      <w:r w:rsidRPr="002A07BD">
        <w:rPr>
          <w:rFonts w:ascii="Cambria" w:eastAsia="Cambria" w:hAnsi="Cambria"/>
          <w:sz w:val="24"/>
          <w:szCs w:val="24"/>
        </w:rPr>
        <w:tab/>
        <w:t>that reason one of the principal</w:t>
      </w:r>
      <w:r w:rsidRPr="002A07BD">
        <w:rPr>
          <w:rFonts w:ascii="Cambria" w:eastAsia="Cambria" w:hAnsi="Cambria"/>
          <w:sz w:val="24"/>
          <w:szCs w:val="24"/>
        </w:rPr>
        <w:tab/>
        <w:t xml:space="preserve">conclusions of this paper is to adopt the Three Levels Approach. </w:t>
      </w:r>
      <w:proofErr w:type="gramStart"/>
      <w:r w:rsidRPr="002A07BD">
        <w:rPr>
          <w:rFonts w:ascii="Cambria" w:eastAsia="Cambria" w:hAnsi="Cambria"/>
          <w:sz w:val="24"/>
          <w:szCs w:val="24"/>
        </w:rPr>
        <w:t>Applying this perspective in</w:t>
      </w:r>
      <w:r w:rsidRPr="002A07BD">
        <w:rPr>
          <w:rFonts w:ascii="Cambria" w:eastAsia="Cambria" w:hAnsi="Cambria"/>
          <w:sz w:val="24"/>
          <w:szCs w:val="24"/>
        </w:rPr>
        <w:tab/>
        <w:t>each and every project involving refugees, regardless the field of work.</w:t>
      </w:r>
      <w:proofErr w:type="gramEnd"/>
      <w:r w:rsidRPr="002A07BD">
        <w:rPr>
          <w:rFonts w:ascii="Cambria" w:eastAsia="Cambria" w:hAnsi="Cambria"/>
          <w:sz w:val="24"/>
          <w:szCs w:val="24"/>
        </w:rPr>
        <w:t xml:space="preserve"> The Three Levels Approach consists of:</w:t>
      </w: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r w:rsidRPr="002A07BD">
        <w:rPr>
          <w:rFonts w:ascii="Cambria" w:eastAsia="Cambria" w:hAnsi="Cambria"/>
          <w:sz w:val="24"/>
          <w:szCs w:val="24"/>
        </w:rPr>
        <w:t>•</w:t>
      </w:r>
      <w:r w:rsidRPr="002A07BD">
        <w:rPr>
          <w:rFonts w:ascii="Cambria" w:eastAsia="Cambria" w:hAnsi="Cambria"/>
          <w:sz w:val="24"/>
          <w:szCs w:val="24"/>
        </w:rPr>
        <w:tab/>
      </w:r>
      <w:proofErr w:type="gramStart"/>
      <w:r w:rsidRPr="002A07BD">
        <w:rPr>
          <w:rFonts w:ascii="Cambria" w:eastAsia="Cambria" w:hAnsi="Cambria"/>
          <w:sz w:val="24"/>
          <w:szCs w:val="24"/>
        </w:rPr>
        <w:t>access</w:t>
      </w:r>
      <w:proofErr w:type="gramEnd"/>
      <w:r w:rsidRPr="002A07BD">
        <w:rPr>
          <w:rFonts w:ascii="Cambria" w:eastAsia="Cambria" w:hAnsi="Cambria"/>
          <w:sz w:val="24"/>
          <w:szCs w:val="24"/>
        </w:rPr>
        <w:t xml:space="preserve"> to accurate information</w:t>
      </w: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r w:rsidRPr="002A07BD">
        <w:rPr>
          <w:rFonts w:ascii="Cambria" w:eastAsia="Cambria" w:hAnsi="Cambria"/>
          <w:sz w:val="24"/>
          <w:szCs w:val="24"/>
        </w:rPr>
        <w:t>•</w:t>
      </w:r>
      <w:r w:rsidRPr="002A07BD">
        <w:rPr>
          <w:rFonts w:ascii="Cambria" w:eastAsia="Cambria" w:hAnsi="Cambria"/>
          <w:sz w:val="24"/>
          <w:szCs w:val="24"/>
        </w:rPr>
        <w:tab/>
      </w:r>
      <w:proofErr w:type="gramStart"/>
      <w:r w:rsidRPr="002A07BD">
        <w:rPr>
          <w:rFonts w:ascii="Cambria" w:eastAsia="Cambria" w:hAnsi="Cambria"/>
          <w:sz w:val="24"/>
          <w:szCs w:val="24"/>
        </w:rPr>
        <w:t>empowerment</w:t>
      </w:r>
      <w:proofErr w:type="gramEnd"/>
      <w:r w:rsidRPr="002A07BD">
        <w:rPr>
          <w:rFonts w:ascii="Cambria" w:eastAsia="Cambria" w:hAnsi="Cambria"/>
          <w:sz w:val="24"/>
          <w:szCs w:val="24"/>
        </w:rPr>
        <w:t>: life skills development</w:t>
      </w: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r w:rsidRPr="002A07BD">
        <w:rPr>
          <w:rFonts w:ascii="Cambria" w:eastAsia="Cambria" w:hAnsi="Cambria"/>
          <w:sz w:val="24"/>
          <w:szCs w:val="24"/>
        </w:rPr>
        <w:t>•</w:t>
      </w:r>
      <w:r w:rsidRPr="002A07BD">
        <w:rPr>
          <w:rFonts w:ascii="Cambria" w:eastAsia="Cambria" w:hAnsi="Cambria"/>
          <w:sz w:val="24"/>
          <w:szCs w:val="24"/>
        </w:rPr>
        <w:tab/>
      </w:r>
      <w:proofErr w:type="spellStart"/>
      <w:proofErr w:type="gramStart"/>
      <w:r w:rsidRPr="002A07BD">
        <w:rPr>
          <w:rFonts w:ascii="Cambria" w:eastAsia="Cambria" w:hAnsi="Cambria"/>
          <w:sz w:val="24"/>
          <w:szCs w:val="24"/>
        </w:rPr>
        <w:t>transgressive</w:t>
      </w:r>
      <w:proofErr w:type="spellEnd"/>
      <w:proofErr w:type="gramEnd"/>
      <w:r w:rsidRPr="002A07BD">
        <w:rPr>
          <w:rFonts w:ascii="Cambria" w:eastAsia="Cambria" w:hAnsi="Cambria"/>
          <w:sz w:val="24"/>
          <w:szCs w:val="24"/>
        </w:rPr>
        <w:t xml:space="preserve"> and cooperative application</w:t>
      </w: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p>
    <w:p w:rsid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r w:rsidRPr="002A07BD">
        <w:rPr>
          <w:rFonts w:ascii="Cambria" w:eastAsia="Cambria" w:hAnsi="Cambria"/>
          <w:sz w:val="24"/>
          <w:szCs w:val="24"/>
        </w:rPr>
        <w:t xml:space="preserve">An easy access to accurate, updated, reliable and complete information is </w:t>
      </w:r>
      <w:proofErr w:type="gramStart"/>
      <w:r w:rsidRPr="002A07BD">
        <w:rPr>
          <w:rFonts w:ascii="Cambria" w:eastAsia="Cambria" w:hAnsi="Cambria"/>
          <w:sz w:val="24"/>
          <w:szCs w:val="24"/>
        </w:rPr>
        <w:t>essential  for</w:t>
      </w:r>
      <w:proofErr w:type="gramEnd"/>
      <w:r w:rsidRPr="002A07BD">
        <w:rPr>
          <w:rFonts w:ascii="Cambria" w:eastAsia="Cambria" w:hAnsi="Cambria"/>
          <w:sz w:val="24"/>
          <w:szCs w:val="24"/>
        </w:rPr>
        <w:t xml:space="preserve">  people  to  make  informed  decisions.</w:t>
      </w:r>
      <w:r w:rsidRPr="002A07BD">
        <w:rPr>
          <w:rFonts w:ascii="Cambria" w:eastAsia="Cambria" w:hAnsi="Cambria"/>
          <w:sz w:val="24"/>
          <w:szCs w:val="24"/>
        </w:rPr>
        <w:tab/>
      </w:r>
      <w:proofErr w:type="gramStart"/>
      <w:r w:rsidRPr="002A07BD">
        <w:rPr>
          <w:rFonts w:ascii="Cambria" w:eastAsia="Cambria" w:hAnsi="Cambria"/>
          <w:sz w:val="24"/>
          <w:szCs w:val="24"/>
        </w:rPr>
        <w:t>As  explain</w:t>
      </w:r>
      <w:proofErr w:type="gramEnd"/>
      <w:r w:rsidRPr="002A07BD">
        <w:rPr>
          <w:rFonts w:ascii="Cambria" w:eastAsia="Cambria" w:hAnsi="Cambria"/>
          <w:sz w:val="24"/>
          <w:szCs w:val="24"/>
        </w:rPr>
        <w:tab/>
        <w:t xml:space="preserve">in  the previous  part  the  </w:t>
      </w:r>
      <w:proofErr w:type="spellStart"/>
      <w:r w:rsidRPr="002A07BD">
        <w:rPr>
          <w:rFonts w:ascii="Cambria" w:eastAsia="Cambria" w:hAnsi="Cambria"/>
          <w:sz w:val="24"/>
          <w:szCs w:val="24"/>
        </w:rPr>
        <w:t>the</w:t>
      </w:r>
      <w:proofErr w:type="spellEnd"/>
      <w:r w:rsidRPr="002A07BD">
        <w:rPr>
          <w:rFonts w:ascii="Cambria" w:eastAsia="Cambria" w:hAnsi="Cambria"/>
          <w:sz w:val="24"/>
          <w:szCs w:val="24"/>
        </w:rPr>
        <w:t xml:space="preserve">  document,  legislation  and</w:t>
      </w:r>
      <w:r w:rsidRPr="002A07BD">
        <w:rPr>
          <w:rFonts w:ascii="Cambria" w:eastAsia="Cambria" w:hAnsi="Cambria"/>
          <w:sz w:val="24"/>
          <w:szCs w:val="24"/>
        </w:rPr>
        <w:tab/>
        <w:t>approach  of</w:t>
      </w:r>
      <w:r w:rsidRPr="002A07BD">
        <w:rPr>
          <w:rFonts w:ascii="Cambria" w:eastAsia="Cambria" w:hAnsi="Cambria"/>
          <w:sz w:val="24"/>
          <w:szCs w:val="24"/>
        </w:rPr>
        <w:tab/>
        <w:t>donors change</w:t>
      </w:r>
      <w:r w:rsidRPr="002A07BD">
        <w:rPr>
          <w:rFonts w:ascii="Cambria" w:eastAsia="Cambria" w:hAnsi="Cambria"/>
          <w:sz w:val="24"/>
          <w:szCs w:val="24"/>
        </w:rPr>
        <w:tab/>
        <w:t>frequently</w:t>
      </w:r>
      <w:r w:rsidRPr="002A07BD">
        <w:rPr>
          <w:rFonts w:ascii="Cambria" w:eastAsia="Cambria" w:hAnsi="Cambria"/>
          <w:sz w:val="24"/>
          <w:szCs w:val="24"/>
        </w:rPr>
        <w:tab/>
        <w:t>which</w:t>
      </w:r>
      <w:r w:rsidRPr="002A07BD">
        <w:rPr>
          <w:rFonts w:ascii="Cambria" w:eastAsia="Cambria" w:hAnsi="Cambria"/>
          <w:sz w:val="24"/>
          <w:szCs w:val="24"/>
        </w:rPr>
        <w:tab/>
        <w:t>leave stakeholders</w:t>
      </w:r>
      <w:r w:rsidRPr="002A07BD">
        <w:rPr>
          <w:rFonts w:ascii="Cambria" w:eastAsia="Cambria" w:hAnsi="Cambria"/>
          <w:sz w:val="24"/>
          <w:szCs w:val="24"/>
        </w:rPr>
        <w:tab/>
        <w:t>(refugees,</w:t>
      </w:r>
      <w:r w:rsidRPr="002A07BD">
        <w:rPr>
          <w:rFonts w:ascii="Cambria" w:eastAsia="Cambria" w:hAnsi="Cambria"/>
          <w:sz w:val="24"/>
          <w:szCs w:val="24"/>
        </w:rPr>
        <w:tab/>
        <w:t xml:space="preserve">hosting communities but also aid workers and representatives of authorities) confused. That result in serious consequence: a family not having a rental contract and not being able to issue new </w:t>
      </w:r>
      <w:proofErr w:type="spellStart"/>
      <w:r w:rsidRPr="002A07BD">
        <w:rPr>
          <w:rFonts w:ascii="Cambria" w:eastAsia="Cambria" w:hAnsi="Cambria"/>
          <w:sz w:val="24"/>
          <w:szCs w:val="24"/>
        </w:rPr>
        <w:t>MoI</w:t>
      </w:r>
      <w:proofErr w:type="spellEnd"/>
      <w:r w:rsidRPr="002A07BD">
        <w:rPr>
          <w:rFonts w:ascii="Cambria" w:eastAsia="Cambria" w:hAnsi="Cambria"/>
          <w:sz w:val="24"/>
          <w:szCs w:val="24"/>
        </w:rPr>
        <w:t xml:space="preserve"> service card, a child not being enroll to school, a patient with no knowledge not understanding of his/her health condition and required treatment, and many others.</w:t>
      </w: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r w:rsidRPr="002A07BD">
        <w:rPr>
          <w:rFonts w:ascii="Cambria" w:eastAsia="Cambria" w:hAnsi="Cambria"/>
          <w:sz w:val="24"/>
          <w:szCs w:val="24"/>
        </w:rPr>
        <w:t>Working on developing life skills was identify as an essential component of the three levels approach, based on an observation of increasing frustration, hopelessness, apathy, aid dependency and degrading self-esteem, cooperative behavior, critical analysis. Several years of living in a vacuum drains people ability to cope with the challenges they face in a health manner.</w:t>
      </w: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r w:rsidRPr="002A07BD">
        <w:rPr>
          <w:rFonts w:ascii="Cambria" w:eastAsia="Cambria" w:hAnsi="Cambria"/>
          <w:sz w:val="24"/>
          <w:szCs w:val="24"/>
        </w:rPr>
        <w:t xml:space="preserve">Any program shall include a component of people working together for the benefit of a community. Normally, aid programs are designed for </w:t>
      </w:r>
      <w:proofErr w:type="gramStart"/>
      <w:r w:rsidRPr="002A07BD">
        <w:rPr>
          <w:rFonts w:ascii="Cambria" w:eastAsia="Cambria" w:hAnsi="Cambria"/>
          <w:sz w:val="24"/>
          <w:szCs w:val="24"/>
        </w:rPr>
        <w:t>individuals which in itself is</w:t>
      </w:r>
      <w:proofErr w:type="gramEnd"/>
      <w:r w:rsidRPr="002A07BD">
        <w:rPr>
          <w:rFonts w:ascii="Cambria" w:eastAsia="Cambria" w:hAnsi="Cambria"/>
          <w:sz w:val="24"/>
          <w:szCs w:val="24"/>
        </w:rPr>
        <w:t xml:space="preserve"> not necessary bad. Nevertheless, given the dire destruction of social tissue it is essential to re-establish support</w:t>
      </w: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proofErr w:type="gramStart"/>
      <w:r w:rsidRPr="002A07BD">
        <w:rPr>
          <w:rFonts w:ascii="Cambria" w:eastAsia="Cambria" w:hAnsi="Cambria"/>
          <w:sz w:val="24"/>
          <w:szCs w:val="24"/>
        </w:rPr>
        <w:t>networks</w:t>
      </w:r>
      <w:proofErr w:type="gramEnd"/>
      <w:r w:rsidRPr="002A07BD">
        <w:rPr>
          <w:rFonts w:ascii="Cambria" w:eastAsia="Cambria" w:hAnsi="Cambria"/>
          <w:sz w:val="24"/>
          <w:szCs w:val="24"/>
        </w:rPr>
        <w:t xml:space="preserve">   (that</w:t>
      </w:r>
      <w:r w:rsidRPr="002A07BD">
        <w:rPr>
          <w:rFonts w:ascii="Cambria" w:eastAsia="Cambria" w:hAnsi="Cambria"/>
          <w:sz w:val="24"/>
          <w:szCs w:val="24"/>
        </w:rPr>
        <w:tab/>
        <w:t>implies,   among</w:t>
      </w:r>
      <w:r w:rsidRPr="002A07BD">
        <w:rPr>
          <w:rFonts w:ascii="Cambria" w:eastAsia="Cambria" w:hAnsi="Cambria"/>
          <w:sz w:val="24"/>
          <w:szCs w:val="24"/>
        </w:rPr>
        <w:tab/>
        <w:t>others,</w:t>
      </w:r>
      <w:r w:rsidRPr="002A07BD">
        <w:rPr>
          <w:rFonts w:ascii="Cambria" w:eastAsia="Cambria" w:hAnsi="Cambria"/>
          <w:sz w:val="24"/>
          <w:szCs w:val="24"/>
        </w:rPr>
        <w:tab/>
        <w:t xml:space="preserve">communication,   planning, problem solving and decision making). </w:t>
      </w:r>
      <w:proofErr w:type="gramStart"/>
      <w:r w:rsidRPr="002A07BD">
        <w:rPr>
          <w:rFonts w:ascii="Cambria" w:eastAsia="Cambria" w:hAnsi="Cambria"/>
          <w:sz w:val="24"/>
          <w:szCs w:val="24"/>
        </w:rPr>
        <w:t>As  explained</w:t>
      </w:r>
      <w:proofErr w:type="gramEnd"/>
      <w:r w:rsidRPr="002A07BD">
        <w:rPr>
          <w:rFonts w:ascii="Cambria" w:eastAsia="Cambria" w:hAnsi="Cambria"/>
          <w:sz w:val="24"/>
          <w:szCs w:val="24"/>
        </w:rPr>
        <w:t>,</w:t>
      </w:r>
      <w:r w:rsidRPr="002A07BD">
        <w:rPr>
          <w:rFonts w:ascii="Cambria" w:eastAsia="Cambria" w:hAnsi="Cambria"/>
          <w:sz w:val="24"/>
          <w:szCs w:val="24"/>
        </w:rPr>
        <w:tab/>
        <w:t>the  recommended</w:t>
      </w:r>
      <w:r w:rsidRPr="002A07BD">
        <w:rPr>
          <w:rFonts w:ascii="Cambria" w:eastAsia="Cambria" w:hAnsi="Cambria"/>
          <w:sz w:val="24"/>
          <w:szCs w:val="24"/>
        </w:rPr>
        <w:tab/>
        <w:t>approach</w:t>
      </w:r>
      <w:r w:rsidRPr="002A07BD">
        <w:rPr>
          <w:rFonts w:ascii="Cambria" w:eastAsia="Cambria" w:hAnsi="Cambria"/>
          <w:sz w:val="24"/>
          <w:szCs w:val="24"/>
        </w:rPr>
        <w:tab/>
        <w:t>is  to  be  implemented regardless the specific field of work</w:t>
      </w:r>
      <w:r w:rsidRPr="002A07BD">
        <w:rPr>
          <w:rFonts w:ascii="Cambria" w:eastAsia="Cambria" w:hAnsi="Cambria"/>
          <w:sz w:val="24"/>
          <w:szCs w:val="24"/>
        </w:rPr>
        <w:tab/>
        <w:t>and assumes creating a parallel line of actions, alongside the body of the project.</w:t>
      </w:r>
      <w:r w:rsidRPr="002A07BD">
        <w:rPr>
          <w:rFonts w:ascii="Cambria" w:eastAsia="Cambria" w:hAnsi="Cambria"/>
          <w:sz w:val="24"/>
          <w:szCs w:val="24"/>
        </w:rPr>
        <w:tab/>
      </w:r>
    </w:p>
    <w:p w:rsidR="002A07BD" w:rsidRDefault="002A07BD" w:rsidP="002A07BD">
      <w:pPr>
        <w:spacing w:line="360" w:lineRule="auto"/>
        <w:jc w:val="both"/>
        <w:rPr>
          <w:rFonts w:ascii="Cambria" w:eastAsia="Cambria" w:hAnsi="Cambria"/>
          <w:sz w:val="24"/>
          <w:szCs w:val="24"/>
        </w:rPr>
      </w:pPr>
    </w:p>
    <w:p w:rsid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p>
    <w:p w:rsidR="002A07BD" w:rsidRDefault="002A07BD" w:rsidP="002A07BD">
      <w:pPr>
        <w:spacing w:line="360" w:lineRule="auto"/>
        <w:jc w:val="center"/>
        <w:rPr>
          <w:rFonts w:asciiTheme="majorHAnsi" w:eastAsia="Cambria" w:hAnsiTheme="majorHAnsi"/>
          <w:b/>
          <w:color w:val="0070C0"/>
          <w:sz w:val="28"/>
          <w:szCs w:val="28"/>
        </w:rPr>
      </w:pPr>
    </w:p>
    <w:p w:rsidR="002A07BD" w:rsidRPr="002A07BD" w:rsidRDefault="002A07BD" w:rsidP="002A07BD">
      <w:pPr>
        <w:spacing w:line="360" w:lineRule="auto"/>
        <w:jc w:val="center"/>
        <w:rPr>
          <w:rFonts w:asciiTheme="majorHAnsi" w:eastAsia="Cambria" w:hAnsiTheme="majorHAnsi"/>
          <w:b/>
          <w:color w:val="0070C0"/>
          <w:sz w:val="28"/>
          <w:szCs w:val="28"/>
        </w:rPr>
      </w:pPr>
      <w:r w:rsidRPr="002A07BD">
        <w:rPr>
          <w:rFonts w:asciiTheme="majorHAnsi" w:eastAsia="Cambria" w:hAnsiTheme="majorHAnsi"/>
          <w:b/>
          <w:color w:val="0070C0"/>
          <w:sz w:val="28"/>
          <w:szCs w:val="28"/>
        </w:rPr>
        <w:t>Fields of work</w:t>
      </w:r>
    </w:p>
    <w:p w:rsidR="002A07BD" w:rsidRPr="002A07BD" w:rsidRDefault="002A07BD" w:rsidP="002A07BD">
      <w:pPr>
        <w:spacing w:line="360" w:lineRule="auto"/>
        <w:jc w:val="both"/>
        <w:rPr>
          <w:rFonts w:ascii="Cambria" w:eastAsia="Cambria" w:hAnsi="Cambria"/>
          <w:sz w:val="24"/>
          <w:szCs w:val="24"/>
        </w:rPr>
      </w:pPr>
    </w:p>
    <w:p w:rsidR="002A07BD" w:rsidRDefault="002A07BD" w:rsidP="002A07BD">
      <w:pPr>
        <w:spacing w:line="360" w:lineRule="auto"/>
        <w:jc w:val="both"/>
        <w:rPr>
          <w:rFonts w:ascii="Cambria" w:eastAsia="Cambria" w:hAnsi="Cambria"/>
          <w:sz w:val="24"/>
          <w:szCs w:val="24"/>
        </w:rPr>
      </w:pPr>
      <w:r w:rsidRPr="002A07BD">
        <w:rPr>
          <w:rFonts w:ascii="Cambria" w:eastAsia="Cambria" w:hAnsi="Cambria"/>
          <w:sz w:val="24"/>
          <w:szCs w:val="24"/>
        </w:rPr>
        <w:t>Focus on work with urban refugees and their hosting communities, particularly vulnerable Jordanians. Urban refugees are prioritized for few reasons. In Jordan they are 79% of registered refugee population. People who live in the camps stay in dreadful conditions, camps do need advanced</w:t>
      </w:r>
      <w:r w:rsidRPr="002A07BD">
        <w:rPr>
          <w:rFonts w:ascii="Cambria" w:eastAsia="Cambria" w:hAnsi="Cambria"/>
          <w:sz w:val="24"/>
          <w:szCs w:val="24"/>
        </w:rPr>
        <w:tab/>
        <w:t>technological</w:t>
      </w:r>
      <w:r w:rsidRPr="002A07BD">
        <w:rPr>
          <w:rFonts w:ascii="Cambria" w:eastAsia="Cambria" w:hAnsi="Cambria"/>
          <w:sz w:val="24"/>
          <w:szCs w:val="24"/>
        </w:rPr>
        <w:tab/>
        <w:t>solution for infrastructure.</w:t>
      </w:r>
      <w:r w:rsidRPr="002A07BD">
        <w:rPr>
          <w:rFonts w:ascii="Cambria" w:eastAsia="Cambria" w:hAnsi="Cambria"/>
          <w:sz w:val="24"/>
          <w:szCs w:val="24"/>
        </w:rPr>
        <w:tab/>
        <w:t xml:space="preserve"> As other refugees they do need aid and</w:t>
      </w:r>
      <w:r w:rsidRPr="002A07BD">
        <w:rPr>
          <w:rFonts w:ascii="Cambria" w:eastAsia="Cambria" w:hAnsi="Cambria"/>
          <w:sz w:val="24"/>
          <w:szCs w:val="24"/>
        </w:rPr>
        <w:tab/>
        <w:t>psychosocial support. At the same</w:t>
      </w:r>
      <w:r w:rsidRPr="002A07BD">
        <w:rPr>
          <w:rFonts w:ascii="Cambria" w:eastAsia="Cambria" w:hAnsi="Cambria"/>
          <w:sz w:val="24"/>
          <w:szCs w:val="24"/>
        </w:rPr>
        <w:tab/>
        <w:t>time, compared to the out-of-the-camps refugees, they are relatively easy to access, especially that, as we sow, there are many Syrians not registered with UNHCR, hence often out of NGOs radars. The reason why vulnerable Jordanians are to be included is that they are the most affected by failing infrastructure and their stories are fuelling social discontent and division– something that already fragile Jordanian society cannot afford.</w:t>
      </w: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center"/>
        <w:rPr>
          <w:rFonts w:ascii="Cambria" w:eastAsia="Cambria" w:hAnsi="Cambria"/>
          <w:b/>
          <w:color w:val="0070C0"/>
          <w:sz w:val="28"/>
          <w:szCs w:val="28"/>
        </w:rPr>
      </w:pPr>
      <w:r w:rsidRPr="002A07BD">
        <w:rPr>
          <w:rFonts w:ascii="Cambria" w:eastAsia="Cambria" w:hAnsi="Cambria"/>
          <w:b/>
          <w:color w:val="0070C0"/>
          <w:sz w:val="28"/>
          <w:szCs w:val="28"/>
        </w:rPr>
        <w:t>Prioritized fields of work: livelihoods and education</w:t>
      </w: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r w:rsidRPr="002A07BD">
        <w:rPr>
          <w:rFonts w:ascii="Cambria" w:eastAsia="Cambria" w:hAnsi="Cambria"/>
          <w:sz w:val="24"/>
          <w:szCs w:val="24"/>
        </w:rPr>
        <w:t xml:space="preserve">It is recommended to take advantage of the momentum of shifting policy on access to </w:t>
      </w:r>
      <w:proofErr w:type="spellStart"/>
      <w:r w:rsidRPr="002A07BD">
        <w:rPr>
          <w:rFonts w:ascii="Cambria" w:eastAsia="Cambria" w:hAnsi="Cambria"/>
          <w:sz w:val="24"/>
          <w:szCs w:val="24"/>
        </w:rPr>
        <w:t>labour</w:t>
      </w:r>
      <w:proofErr w:type="spellEnd"/>
      <w:r w:rsidRPr="002A07BD">
        <w:rPr>
          <w:rFonts w:ascii="Cambria" w:eastAsia="Cambria" w:hAnsi="Cambria"/>
          <w:sz w:val="24"/>
          <w:szCs w:val="24"/>
        </w:rPr>
        <w:t xml:space="preserve"> market. Keeping in mind remaining restrictions and limits, to develop programs that would combine two or more spheres of life: for example to provide training for teachers who would later on relieve overloaded employees or to enable independent food production.</w:t>
      </w: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r w:rsidRPr="002A07BD">
        <w:rPr>
          <w:rFonts w:ascii="Cambria" w:eastAsia="Cambria" w:hAnsi="Cambria"/>
          <w:sz w:val="24"/>
          <w:szCs w:val="24"/>
        </w:rPr>
        <w:t>As for informal education it has significant importance when comes to filling the educational gaps and developing life skills like communication, critical thinking, cooperation, decision making, gender education. It is also an alternative for these underage refugees who are not allowed to attend formal school system.</w:t>
      </w:r>
    </w:p>
    <w:p w:rsidR="002A07BD" w:rsidRPr="002A07BD" w:rsidRDefault="002A07BD"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p>
    <w:p w:rsidR="002A07BD" w:rsidRDefault="002A07BD" w:rsidP="002A07BD">
      <w:pPr>
        <w:spacing w:line="360" w:lineRule="auto"/>
        <w:jc w:val="both"/>
        <w:rPr>
          <w:rFonts w:ascii="Cambria" w:eastAsia="Cambria" w:hAnsi="Cambria"/>
          <w:b/>
          <w:sz w:val="24"/>
          <w:szCs w:val="24"/>
        </w:rPr>
      </w:pPr>
    </w:p>
    <w:p w:rsidR="002A07BD" w:rsidRPr="002A07BD" w:rsidRDefault="002A07BD" w:rsidP="002A07BD">
      <w:pPr>
        <w:spacing w:line="360" w:lineRule="auto"/>
        <w:jc w:val="both"/>
        <w:rPr>
          <w:rFonts w:ascii="Cambria" w:eastAsia="Cambria" w:hAnsi="Cambria"/>
          <w:sz w:val="24"/>
          <w:szCs w:val="24"/>
        </w:rPr>
      </w:pPr>
      <w:r w:rsidRPr="002A07BD">
        <w:rPr>
          <w:rFonts w:ascii="Cambria" w:eastAsia="Cambria" w:hAnsi="Cambria"/>
          <w:b/>
          <w:color w:val="0070C0"/>
          <w:sz w:val="24"/>
          <w:szCs w:val="24"/>
        </w:rPr>
        <w:t>Last  but  not  least</w:t>
      </w:r>
      <w:r w:rsidRPr="002A07BD">
        <w:rPr>
          <w:rFonts w:ascii="Cambria" w:eastAsia="Cambria" w:hAnsi="Cambria"/>
          <w:sz w:val="24"/>
          <w:szCs w:val="24"/>
        </w:rPr>
        <w:t>,  it  is  recommended  to  cooperate  with  one  of  the Community Based Organization that often are underfunded but do have close relations with and good understanding of beneficiaries and their circumstances.</w:t>
      </w:r>
      <w:r w:rsidRPr="002A07BD">
        <w:rPr>
          <w:rFonts w:ascii="Cambria" w:eastAsia="Cambria" w:hAnsi="Cambria"/>
          <w:sz w:val="24"/>
          <w:szCs w:val="24"/>
        </w:rPr>
        <w:tab/>
      </w:r>
      <w:r w:rsidRPr="002A07BD">
        <w:rPr>
          <w:rFonts w:ascii="Cambria" w:eastAsia="Cambria" w:hAnsi="Cambria"/>
          <w:sz w:val="24"/>
          <w:szCs w:val="24"/>
        </w:rPr>
        <w:tab/>
      </w:r>
      <w:r w:rsidRPr="002A07BD">
        <w:rPr>
          <w:rFonts w:ascii="Cambria" w:eastAsia="Cambria" w:hAnsi="Cambria"/>
          <w:sz w:val="24"/>
          <w:szCs w:val="24"/>
        </w:rPr>
        <w:tab/>
      </w:r>
    </w:p>
    <w:p w:rsidR="002A07BD" w:rsidRPr="002A07BD" w:rsidRDefault="002A07BD" w:rsidP="002A07BD">
      <w:pPr>
        <w:spacing w:line="360" w:lineRule="auto"/>
        <w:jc w:val="both"/>
        <w:rPr>
          <w:rFonts w:ascii="Cambria" w:eastAsia="Cambria" w:hAnsi="Cambria"/>
          <w:sz w:val="24"/>
          <w:szCs w:val="24"/>
        </w:rPr>
      </w:pPr>
    </w:p>
    <w:p w:rsidR="002A07BD" w:rsidRDefault="002A07BD"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Default="00512F29" w:rsidP="002A07BD">
      <w:pPr>
        <w:spacing w:line="360" w:lineRule="auto"/>
        <w:jc w:val="both"/>
        <w:rPr>
          <w:rFonts w:ascii="Cambria" w:eastAsia="Cambria" w:hAnsi="Cambria"/>
          <w:sz w:val="24"/>
          <w:szCs w:val="24"/>
        </w:rPr>
      </w:pPr>
    </w:p>
    <w:p w:rsidR="00512F29" w:rsidRPr="002A07BD" w:rsidRDefault="00512F29" w:rsidP="002A07BD">
      <w:pPr>
        <w:spacing w:line="360" w:lineRule="auto"/>
        <w:jc w:val="both"/>
        <w:rPr>
          <w:rFonts w:ascii="Cambria" w:eastAsia="Cambria" w:hAnsi="Cambria"/>
          <w:sz w:val="24"/>
          <w:szCs w:val="24"/>
        </w:rPr>
      </w:pPr>
    </w:p>
    <w:p w:rsidR="002A07BD" w:rsidRPr="002A07BD" w:rsidRDefault="002A07BD" w:rsidP="002A07BD">
      <w:pPr>
        <w:spacing w:line="360" w:lineRule="auto"/>
        <w:jc w:val="both"/>
        <w:rPr>
          <w:rFonts w:ascii="Cambria" w:eastAsia="Cambria" w:hAnsi="Cambria"/>
          <w:sz w:val="24"/>
          <w:szCs w:val="24"/>
        </w:rPr>
      </w:pPr>
    </w:p>
    <w:p w:rsidR="00512F29" w:rsidRDefault="00512F29" w:rsidP="00512F29">
      <w:pPr>
        <w:pStyle w:val="Heading2"/>
        <w:jc w:val="center"/>
        <w:rPr>
          <w:rFonts w:asciiTheme="majorHAnsi" w:hAnsiTheme="majorHAnsi"/>
          <w:sz w:val="24"/>
          <w:szCs w:val="24"/>
          <w:lang w:val="lt-LT" w:bidi="ar-JO"/>
        </w:rPr>
      </w:pPr>
    </w:p>
    <w:p w:rsidR="00512F29" w:rsidRDefault="00512F29" w:rsidP="00512F29">
      <w:pPr>
        <w:adjustRightInd w:val="0"/>
        <w:jc w:val="center"/>
        <w:rPr>
          <w:rFonts w:asciiTheme="majorHAnsi" w:hAnsiTheme="majorHAnsi"/>
          <w:b/>
          <w:color w:val="0070C0"/>
          <w:sz w:val="32"/>
          <w:szCs w:val="32"/>
          <w:lang w:val="lt-LT"/>
        </w:rPr>
      </w:pPr>
    </w:p>
    <w:p w:rsidR="00512F29" w:rsidRPr="00512F29" w:rsidRDefault="00512F29" w:rsidP="00512F29">
      <w:pPr>
        <w:adjustRightInd w:val="0"/>
        <w:jc w:val="center"/>
        <w:rPr>
          <w:rFonts w:asciiTheme="majorHAnsi" w:hAnsiTheme="majorHAnsi"/>
          <w:b/>
          <w:color w:val="0070C0"/>
          <w:sz w:val="32"/>
          <w:szCs w:val="32"/>
          <w:lang w:val="lt-LT"/>
        </w:rPr>
      </w:pPr>
      <w:r w:rsidRPr="00512F29">
        <w:rPr>
          <w:rFonts w:asciiTheme="majorHAnsi" w:hAnsiTheme="majorHAnsi"/>
          <w:b/>
          <w:color w:val="0070C0"/>
          <w:sz w:val="32"/>
          <w:szCs w:val="32"/>
          <w:lang w:val="lt-LT"/>
        </w:rPr>
        <w:t>Lietuvos patirties, gebėjimų ir galimybių teikti pagalbą karo ir humanitarinių pabėgėlių prieglobsčio šalyse įvertinimas ir vystymas. Jordanijos atvejis</w:t>
      </w:r>
    </w:p>
    <w:p w:rsidR="00512F29" w:rsidRDefault="00512F29" w:rsidP="00512F29">
      <w:pPr>
        <w:spacing w:line="239" w:lineRule="auto"/>
        <w:jc w:val="center"/>
        <w:rPr>
          <w:rFonts w:ascii="Cambria" w:eastAsia="Cambria" w:hAnsi="Cambria"/>
          <w:color w:val="17365D"/>
          <w:sz w:val="52"/>
        </w:rPr>
      </w:pPr>
    </w:p>
    <w:p w:rsidR="00512F29" w:rsidRDefault="00512F29" w:rsidP="00512F29">
      <w:pPr>
        <w:spacing w:line="239" w:lineRule="auto"/>
        <w:jc w:val="center"/>
        <w:rPr>
          <w:rFonts w:ascii="Cambria" w:eastAsia="Cambria" w:hAnsi="Cambria"/>
          <w:color w:val="17365D"/>
          <w:sz w:val="52"/>
        </w:rPr>
      </w:pPr>
      <w:proofErr w:type="spellStart"/>
      <w:r>
        <w:rPr>
          <w:rFonts w:ascii="Cambria" w:eastAsia="Cambria" w:hAnsi="Cambria"/>
          <w:color w:val="17365D"/>
          <w:sz w:val="52"/>
        </w:rPr>
        <w:t>Rekomendacijos</w:t>
      </w:r>
      <w:proofErr w:type="spellEnd"/>
    </w:p>
    <w:p w:rsidR="00512F29" w:rsidRDefault="00512F29" w:rsidP="00512F29"/>
    <w:p w:rsidR="00512F29" w:rsidRDefault="00512F29" w:rsidP="00512F29"/>
    <w:p w:rsidR="00512F29" w:rsidRPr="00512F29" w:rsidRDefault="00512F29" w:rsidP="00512F29">
      <w:pPr>
        <w:spacing w:line="360" w:lineRule="auto"/>
        <w:jc w:val="center"/>
        <w:rPr>
          <w:rFonts w:ascii="Cambria" w:eastAsia="Cambria" w:hAnsi="Cambria"/>
          <w:b/>
          <w:color w:val="0070C0"/>
          <w:sz w:val="28"/>
          <w:szCs w:val="28"/>
        </w:rPr>
      </w:pPr>
      <w:proofErr w:type="spellStart"/>
      <w:r>
        <w:rPr>
          <w:rFonts w:ascii="Cambria" w:eastAsia="Cambria" w:hAnsi="Cambria"/>
          <w:b/>
          <w:color w:val="0070C0"/>
          <w:sz w:val="28"/>
          <w:szCs w:val="28"/>
        </w:rPr>
        <w:t>Įvadas</w:t>
      </w:r>
      <w:proofErr w:type="spellEnd"/>
    </w:p>
    <w:p w:rsidR="00512F29" w:rsidRPr="00512F29" w:rsidRDefault="00512F29" w:rsidP="00512F29">
      <w:pPr>
        <w:rPr>
          <w:rFonts w:asciiTheme="majorHAnsi" w:hAnsiTheme="majorHAnsi"/>
          <w:sz w:val="24"/>
          <w:szCs w:val="24"/>
          <w:lang w:val="lt-LT" w:bidi="ar-JO"/>
        </w:rPr>
      </w:pPr>
    </w:p>
    <w:p w:rsidR="00512F29" w:rsidRPr="00512F29" w:rsidRDefault="00512F29" w:rsidP="00512F29">
      <w:p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 xml:space="preserve">Pabėgėliai priverstinai iškeldinami iš savo namų jau 17-kai metų. Pabėgėlių iš Sirijos situacija Jordanijoje labai sudėtinga ir daugiasluoksnė: karo ir gyvenimo laikiname prieglobstyje pasekmės yra kenksmingos ir individų, ir bendruomenės kolektyvinei psichikai. Panašu, kad karas Sirijoje tęsis dar netrumpai, bet jam pasibaigus prasidės ilgi ir nelengvi taikymosi, infrastruktūros atstatymo ir nacionalinių strategijų kūrimo procesai. Siekiant užtikrinti taiką pokariniame etape reikalingi stropūs, kritiškai mąstantys, išsilavinę ir taikos reikalingumą matantys piliečiai ir pilietės. Deja, humanitarinę pagalbą teikiančios iniciatyvos dažnai neužtikrina minėtų savybių ir įgūdžių lavinimo.  Būtent dėl to, ir po detalios sirų situacijos Jordanijoje apžvalgos, rekomenduojame remtis </w:t>
      </w:r>
      <w:r w:rsidRPr="00512F29">
        <w:rPr>
          <w:rFonts w:asciiTheme="majorHAnsi" w:hAnsiTheme="majorHAnsi"/>
          <w:b/>
          <w:bCs/>
          <w:sz w:val="24"/>
          <w:szCs w:val="24"/>
          <w:lang w:val="lt-LT" w:bidi="ar-JO"/>
        </w:rPr>
        <w:t>3-jų lygmenų darbo principais</w:t>
      </w:r>
      <w:r w:rsidRPr="00512F29">
        <w:rPr>
          <w:rFonts w:asciiTheme="majorHAnsi" w:hAnsiTheme="majorHAnsi"/>
          <w:sz w:val="24"/>
          <w:szCs w:val="24"/>
          <w:lang w:val="lt-LT" w:bidi="ar-JO"/>
        </w:rPr>
        <w:t>:</w:t>
      </w:r>
    </w:p>
    <w:p w:rsidR="00512F29" w:rsidRPr="00512F29" w:rsidRDefault="00512F29" w:rsidP="00512F29">
      <w:pPr>
        <w:spacing w:line="360" w:lineRule="auto"/>
        <w:jc w:val="mediumKashida"/>
        <w:rPr>
          <w:rFonts w:asciiTheme="majorHAnsi" w:hAnsiTheme="majorHAnsi"/>
          <w:sz w:val="24"/>
          <w:szCs w:val="24"/>
          <w:lang w:val="lt-LT" w:bidi="ar-JO"/>
        </w:rPr>
      </w:pPr>
    </w:p>
    <w:p w:rsidR="00512F29" w:rsidRPr="00512F29" w:rsidRDefault="00512F29" w:rsidP="00512F29">
      <w:pPr>
        <w:pStyle w:val="ListParagraph"/>
        <w:numPr>
          <w:ilvl w:val="0"/>
          <w:numId w:val="1"/>
        </w:num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prieiga prie tikslios informacijos</w:t>
      </w:r>
    </w:p>
    <w:p w:rsidR="00512F29" w:rsidRPr="00512F29" w:rsidRDefault="00512F29" w:rsidP="00512F29">
      <w:pPr>
        <w:pStyle w:val="ListParagraph"/>
        <w:numPr>
          <w:ilvl w:val="0"/>
          <w:numId w:val="1"/>
        </w:num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asmeninių ir gyvenimiškų įgūdžių lavinimas</w:t>
      </w:r>
    </w:p>
    <w:p w:rsidR="00512F29" w:rsidRPr="00512F29" w:rsidRDefault="00512F29" w:rsidP="00512F29">
      <w:pPr>
        <w:pStyle w:val="ListParagraph"/>
        <w:numPr>
          <w:ilvl w:val="0"/>
          <w:numId w:val="1"/>
        </w:num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bendruomeninio darbo ir kolektyvinio rezultatų siekimo skatinimas</w:t>
      </w:r>
    </w:p>
    <w:p w:rsidR="00512F29" w:rsidRPr="00512F29" w:rsidRDefault="00512F29" w:rsidP="00512F29">
      <w:p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 xml:space="preserve">Prieiga prie adekvačios ir detalios informacijos labai reikalinga pabėgėliams, norint užtikrinti efektyvų kasdienių sprendimų priėmimą, ypač dėl to, kad nutarimai pabėgėlių teisių ir pareigų klausimais yra dažnai kintantys. Situacijos </w:t>
      </w:r>
      <w:r>
        <w:rPr>
          <w:rFonts w:asciiTheme="majorHAnsi" w:hAnsiTheme="majorHAnsi"/>
          <w:sz w:val="24"/>
          <w:szCs w:val="24"/>
          <w:lang w:val="lt-LT" w:bidi="ar-JO"/>
        </w:rPr>
        <w:t xml:space="preserve">   </w:t>
      </w:r>
      <w:r w:rsidRPr="00512F29">
        <w:rPr>
          <w:rFonts w:asciiTheme="majorHAnsi" w:hAnsiTheme="majorHAnsi"/>
          <w:sz w:val="24"/>
          <w:szCs w:val="24"/>
          <w:lang w:val="lt-LT" w:bidi="ar-JO"/>
        </w:rPr>
        <w:lastRenderedPageBreak/>
        <w:t xml:space="preserve">nestabilumas ir informacijos trūkumas prisideda prie bendro chaoso ir daro įtaką pabėgėlių išgyvenimo sąlygoms ir kokybei. </w:t>
      </w:r>
    </w:p>
    <w:p w:rsidR="00512F29" w:rsidRPr="00512F29" w:rsidRDefault="00512F29" w:rsidP="00512F29">
      <w:p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Kitas lygmuo – asmeninių įgūdžių lavinimas. Šio lygmens svarba buvo įvardinta remiantis ilgamete darbo su pabėgėliais patirtimi, kai buvo nustatytos nusivylimo gyvenimu, apatijos, depresijos, priklausomybės nuo paramos, nykstančio pasitikėjimo savimi bei kitais, nesugebėjimo bendradarbiauti ir kritiškai mąstyti, pasekmės individų gyvenimui. Iniciatyvos, prisidedančios prie asmens psichinės sveikatos balansavimo bei suteikiančios individams galimybę pasijusti našiais, produktyviais, reikalingais ir sveikais, labai svarbios norint išvengti skaudžių ilgalaikių pasekmių ne tik pabėgėlių bendruomenėms, bet ir juos priimančioms šalims.</w:t>
      </w:r>
    </w:p>
    <w:p w:rsidR="00512F29" w:rsidRPr="00512F29" w:rsidRDefault="00512F29" w:rsidP="00512F29">
      <w:p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Trečiasis lygmuo labai svarbus norint matyti sveikas, bendradarbiaujančias žmonių grupes, suvokiančias, kad visų situacija yra sudėtinga ir kad pokyčiai galimi tik imantis bendrų iniciatyvų. Problemų priežasčių bendrumo atpažinimas ir bendradarbiavimo svarbos suvokimas padėtų sprendžiant paplitusius individų užsisklendimo, egoizmo ir savęs gailėjimo sindromus.</w:t>
      </w:r>
    </w:p>
    <w:p w:rsidR="00512F29" w:rsidRPr="00512F29" w:rsidRDefault="00512F29" w:rsidP="00512F29">
      <w:p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 xml:space="preserve">Norėtume pabrėžti, kad šis darbo principas reikalingas imantis bet kokio pobūdžio projektų bet kurioje darbo srityje. </w:t>
      </w:r>
    </w:p>
    <w:p w:rsidR="00512F29" w:rsidRPr="00512F29" w:rsidRDefault="00512F29" w:rsidP="00512F29">
      <w:pPr>
        <w:pStyle w:val="Heading2"/>
        <w:spacing w:line="360" w:lineRule="auto"/>
        <w:jc w:val="center"/>
        <w:rPr>
          <w:rFonts w:asciiTheme="majorHAnsi" w:hAnsiTheme="majorHAnsi"/>
          <w:color w:val="0070C0"/>
          <w:sz w:val="28"/>
          <w:szCs w:val="28"/>
          <w:lang w:val="lt-LT" w:bidi="ar-JO"/>
        </w:rPr>
      </w:pPr>
      <w:r w:rsidRPr="00512F29">
        <w:rPr>
          <w:rFonts w:asciiTheme="majorHAnsi" w:hAnsiTheme="majorHAnsi"/>
          <w:color w:val="0070C0"/>
          <w:sz w:val="28"/>
          <w:szCs w:val="28"/>
          <w:lang w:val="lt-LT" w:bidi="ar-JO"/>
        </w:rPr>
        <w:t>Rekomendacijos</w:t>
      </w:r>
    </w:p>
    <w:p w:rsidR="00512F29" w:rsidRPr="00512F29" w:rsidRDefault="00512F29" w:rsidP="00512F29">
      <w:pPr>
        <w:spacing w:line="360" w:lineRule="auto"/>
        <w:jc w:val="mediumKashida"/>
        <w:rPr>
          <w:rFonts w:asciiTheme="majorHAnsi" w:hAnsiTheme="majorHAnsi"/>
          <w:sz w:val="24"/>
          <w:szCs w:val="24"/>
          <w:lang w:val="lt-LT" w:bidi="ar-JO"/>
        </w:rPr>
      </w:pPr>
    </w:p>
    <w:p w:rsidR="00512F29" w:rsidRPr="00512F29" w:rsidRDefault="00512F29" w:rsidP="00512F29">
      <w:p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 xml:space="preserve">Rekomenduojame įgyvendinti projektus, įtraukiančius mieste gyvenančius pabėgėlius ir juos priimančius pažeidžiamos Jordanijos bendruomenės narius. Šios grupės svarbios dėl kelių priežasčių. Tiesa, kad pabėgėlių stovyklose žmonėms reikalingi esminiai dalykai (vanduo, elektra, kokybiškas švietimas, psichologinė parama...), tačiau stovyklose įvairios tarptautinės organizacijos nuolat dirba, siekdamos pagerinti stovyklų sąlygas. To paties nepasakytume apie 79 % visų pabėgėlių iš Sirijos, gyvenančius miestuose. Taip yra dėl to, kad juos sudėtingiau pasiekti, jie dažnai nėra užregistruoti, sudėtinga sekti jų kasdienį gyvenimą ir matyti jų sąlygas. Darbas su pažeidžiamais Jordanijos gyventojais irgi </w:t>
      </w:r>
      <w:r w:rsidRPr="00512F29">
        <w:rPr>
          <w:rFonts w:asciiTheme="majorHAnsi" w:hAnsiTheme="majorHAnsi"/>
          <w:sz w:val="24"/>
          <w:szCs w:val="24"/>
          <w:lang w:val="lt-LT" w:bidi="ar-JO"/>
        </w:rPr>
        <w:lastRenderedPageBreak/>
        <w:t xml:space="preserve">esminis, nes jie labiausiai ir seniausiai kenčia nuo silpnos valstybės infrastruktūros. Dirbant vien su pabėgėlių populiacijomis didinama socialinė atskirtis, kuri ir taip yra milžiniška, skatinama neapykanta ir agresija tarp sirų ir </w:t>
      </w:r>
      <w:proofErr w:type="spellStart"/>
      <w:r w:rsidRPr="00512F29">
        <w:rPr>
          <w:rFonts w:asciiTheme="majorHAnsi" w:hAnsiTheme="majorHAnsi"/>
          <w:sz w:val="24"/>
          <w:szCs w:val="24"/>
          <w:lang w:val="lt-LT" w:bidi="ar-JO"/>
        </w:rPr>
        <w:t>jordanų</w:t>
      </w:r>
      <w:proofErr w:type="spellEnd"/>
      <w:r w:rsidRPr="00512F29">
        <w:rPr>
          <w:rFonts w:asciiTheme="majorHAnsi" w:hAnsiTheme="majorHAnsi"/>
          <w:sz w:val="24"/>
          <w:szCs w:val="24"/>
          <w:lang w:val="lt-LT" w:bidi="ar-JO"/>
        </w:rPr>
        <w:t>.</w:t>
      </w:r>
    </w:p>
    <w:p w:rsidR="00512F29" w:rsidRPr="00512F29" w:rsidRDefault="00512F29" w:rsidP="00512F29">
      <w:p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Kalbant apie darbo sritis, rekomenduojame susitelkti į pragyvenimą ir edukaciją/švietimą. Kadangi šiuo metu kinta su sirų darbu susiję įstatymai, labai svarbu pasinaudoti šiuo etapu (nepamirštant apie galimas valstybės institucijų sudaromas kliūtis) ir imtis programų, suteikiančių naujų įgūdžių ir paruošiančių asmenis darbo rinkai.</w:t>
      </w:r>
    </w:p>
    <w:p w:rsidR="00512F29" w:rsidRPr="00512F29" w:rsidRDefault="00512F29" w:rsidP="00512F29">
      <w:p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 xml:space="preserve">Švietimas, ypatingai neformalusis ir suaugusiųjų, ir vaikų mokymas, labai svarbūs siekiant užpildyti mokymosi spragas bei lavinti gyvenimiškus įgūdžius: bendravimo, kritinio mąstymo, bendradarbiavimo, sprendimų priėmimo bei lyčių lygybės sampratą. </w:t>
      </w:r>
    </w:p>
    <w:p w:rsidR="00512F29" w:rsidRPr="00512F29" w:rsidRDefault="00512F29" w:rsidP="00512F29">
      <w:pPr>
        <w:spacing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 xml:space="preserve">Be to, rekomenduojame bendradarbiauti su vietiniais bendruomenės centrais, kurie dažnai neturi pakankamai lėšų, tačiau turi patirties dirbant su pabėgėlių bendruomenėmis bei išmano jų poreikius. </w:t>
      </w:r>
    </w:p>
    <w:p w:rsidR="00512F29" w:rsidRPr="00512F29" w:rsidRDefault="00512F29" w:rsidP="00512F29">
      <w:pPr>
        <w:spacing w:line="360" w:lineRule="auto"/>
        <w:jc w:val="mediumKashida"/>
        <w:rPr>
          <w:rFonts w:asciiTheme="majorHAnsi" w:hAnsiTheme="majorHAnsi"/>
          <w:sz w:val="24"/>
          <w:szCs w:val="24"/>
          <w:lang w:val="lt-LT" w:bidi="ar-JO"/>
        </w:rPr>
      </w:pPr>
    </w:p>
    <w:p w:rsidR="00512F29" w:rsidRPr="00512F29" w:rsidRDefault="00512F29" w:rsidP="00512F29">
      <w:pPr>
        <w:spacing w:line="360" w:lineRule="auto"/>
        <w:jc w:val="center"/>
        <w:rPr>
          <w:rFonts w:asciiTheme="majorHAnsi" w:hAnsiTheme="majorHAnsi"/>
          <w:b/>
          <w:color w:val="0070C0"/>
          <w:sz w:val="28"/>
          <w:szCs w:val="28"/>
          <w:lang w:val="lt-LT" w:bidi="ar-JO"/>
        </w:rPr>
      </w:pPr>
      <w:r w:rsidRPr="00512F29">
        <w:rPr>
          <w:rFonts w:asciiTheme="majorHAnsi" w:hAnsiTheme="majorHAnsi"/>
          <w:b/>
          <w:color w:val="0070C0"/>
          <w:sz w:val="28"/>
          <w:szCs w:val="28"/>
          <w:lang w:val="lt-LT" w:bidi="ar-JO"/>
        </w:rPr>
        <w:t>IŠVADOS</w:t>
      </w:r>
    </w:p>
    <w:p w:rsidR="00512F29" w:rsidRPr="00512F29" w:rsidRDefault="00512F29" w:rsidP="00512F29">
      <w:pPr>
        <w:numPr>
          <w:ilvl w:val="0"/>
          <w:numId w:val="2"/>
        </w:numPr>
        <w:spacing w:after="200"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Parama reikalinga įvairiose srityse: sveikatos apsauga, mityba, psichologija,  socialinis bendravimas, užimtumas, lyčių lygybė, pajamų generavimas ir kt.</w:t>
      </w:r>
    </w:p>
    <w:p w:rsidR="00512F29" w:rsidRPr="00512F29" w:rsidRDefault="00512F29" w:rsidP="00512F29">
      <w:pPr>
        <w:numPr>
          <w:ilvl w:val="0"/>
          <w:numId w:val="2"/>
        </w:numPr>
        <w:spacing w:after="200"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Jordanijoje dirba virš 100 tarptautinių organizacijų. Skaičiuojama parama šimtais milijonų Eurų. Lietuvos paramos galimybės šiame kontekste yra santykinai labai ribotos. Su jomis pasiekti ženklų poveikį būtų sudėtinga. Tačiau Lietuvai įsitraukti į procesus būtina, nes:</w:t>
      </w:r>
    </w:p>
    <w:p w:rsidR="00512F29" w:rsidRPr="00512F29" w:rsidRDefault="00512F29" w:rsidP="00512F29">
      <w:pPr>
        <w:numPr>
          <w:ilvl w:val="0"/>
          <w:numId w:val="3"/>
        </w:numPr>
        <w:spacing w:after="200"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Ryškės Lietuvos matomumas tarptautinėse pastangose reguliuojant migracijos krizę:</w:t>
      </w:r>
    </w:p>
    <w:p w:rsidR="00512F29" w:rsidRPr="00512F29" w:rsidRDefault="00512F29" w:rsidP="00512F29">
      <w:pPr>
        <w:numPr>
          <w:ilvl w:val="0"/>
          <w:numId w:val="3"/>
        </w:numPr>
        <w:spacing w:after="200"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Prisidedama prie Europos saugumo užtikrinimo;</w:t>
      </w:r>
    </w:p>
    <w:p w:rsidR="00512F29" w:rsidRPr="00512F29" w:rsidRDefault="00512F29" w:rsidP="00512F29">
      <w:pPr>
        <w:numPr>
          <w:ilvl w:val="0"/>
          <w:numId w:val="3"/>
        </w:numPr>
        <w:spacing w:after="200"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lastRenderedPageBreak/>
        <w:t>Partnerysčių su didelėmis donorų organizacijomis kūrimas siekiant kontroliuoti migracijos klausimus;</w:t>
      </w:r>
    </w:p>
    <w:p w:rsidR="00512F29" w:rsidRPr="00512F29" w:rsidRDefault="00512F29" w:rsidP="00512F29">
      <w:pPr>
        <w:numPr>
          <w:ilvl w:val="0"/>
          <w:numId w:val="3"/>
        </w:numPr>
        <w:spacing w:after="200"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Patirties regione kaupimas siekiant ateityje įsitraukti į didelių projektų įgyvendinimą.</w:t>
      </w:r>
    </w:p>
    <w:p w:rsidR="00512F29" w:rsidRPr="00512F29" w:rsidRDefault="00512F29" w:rsidP="00512F29">
      <w:pPr>
        <w:numPr>
          <w:ilvl w:val="0"/>
          <w:numId w:val="2"/>
        </w:numPr>
        <w:spacing w:after="200"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 xml:space="preserve">Tikslinis Lietuvos įtraukimas būtų galimas į aiškiai apibrėžtą naudos gavėjų grupę, </w:t>
      </w:r>
      <w:proofErr w:type="spellStart"/>
      <w:r w:rsidRPr="00512F29">
        <w:rPr>
          <w:rFonts w:asciiTheme="majorHAnsi" w:hAnsiTheme="majorHAnsi"/>
          <w:sz w:val="24"/>
          <w:szCs w:val="24"/>
          <w:lang w:val="lt-LT" w:bidi="ar-JO"/>
        </w:rPr>
        <w:t>pvz</w:t>
      </w:r>
      <w:proofErr w:type="spellEnd"/>
      <w:r w:rsidRPr="00512F29">
        <w:rPr>
          <w:rFonts w:asciiTheme="majorHAnsi" w:hAnsiTheme="majorHAnsi"/>
          <w:sz w:val="24"/>
          <w:szCs w:val="24"/>
          <w:lang w:val="lt-LT" w:bidi="ar-JO"/>
        </w:rPr>
        <w:t xml:space="preserve">: </w:t>
      </w:r>
    </w:p>
    <w:p w:rsidR="00512F29" w:rsidRPr="00512F29" w:rsidRDefault="00512F29" w:rsidP="00512F29">
      <w:pPr>
        <w:numPr>
          <w:ilvl w:val="0"/>
          <w:numId w:val="4"/>
        </w:numPr>
        <w:spacing w:after="200"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orientuotis į pabėgėlius jau pradėjusius kurti savo gyvenimą miestuose, bet neturinčius leidimo dirbti ir jokių pragyvenimo šaltinių. Siekti sukurti sąlygas užimtumui, šeimos poreikių patenkinimui, bent minimalių pajamų generavimui.;</w:t>
      </w:r>
    </w:p>
    <w:p w:rsidR="00512F29" w:rsidRPr="00512F29" w:rsidRDefault="00512F29" w:rsidP="00512F29">
      <w:pPr>
        <w:numPr>
          <w:ilvl w:val="0"/>
          <w:numId w:val="4"/>
        </w:numPr>
        <w:spacing w:after="200" w:line="360" w:lineRule="auto"/>
        <w:jc w:val="mediumKashida"/>
        <w:rPr>
          <w:rFonts w:asciiTheme="majorHAnsi" w:hAnsiTheme="majorHAnsi"/>
          <w:sz w:val="24"/>
          <w:szCs w:val="24"/>
          <w:lang w:val="lt-LT" w:bidi="ar-JO"/>
        </w:rPr>
      </w:pPr>
      <w:r w:rsidRPr="00512F29">
        <w:rPr>
          <w:rFonts w:asciiTheme="majorHAnsi" w:hAnsiTheme="majorHAnsi"/>
          <w:sz w:val="24"/>
          <w:szCs w:val="24"/>
          <w:lang w:val="lt-LT" w:bidi="ar-JO"/>
        </w:rPr>
        <w:t>Veiklas derinti su vietoje veikiančiomis efektyviomis vietinėmis ir tarptautinėmis organizacijomis, siekiant spręsti galimai kylančias su projektų įgyvendinimu susijusias problemas;</w:t>
      </w:r>
    </w:p>
    <w:p w:rsidR="00512F29" w:rsidRPr="00512F29" w:rsidRDefault="00512F29" w:rsidP="00512F29">
      <w:pPr>
        <w:spacing w:line="360" w:lineRule="auto"/>
        <w:ind w:left="360"/>
        <w:jc w:val="mediumKashida"/>
        <w:rPr>
          <w:rFonts w:asciiTheme="majorHAnsi" w:hAnsiTheme="majorHAnsi"/>
          <w:sz w:val="24"/>
          <w:szCs w:val="24"/>
          <w:lang w:val="lt-LT" w:bidi="ar-JO"/>
        </w:rPr>
      </w:pPr>
      <w:r w:rsidRPr="00512F29">
        <w:rPr>
          <w:rFonts w:asciiTheme="majorHAnsi" w:hAnsiTheme="majorHAnsi"/>
          <w:sz w:val="24"/>
          <w:szCs w:val="24"/>
          <w:lang w:val="lt-LT" w:bidi="ar-JO"/>
        </w:rPr>
        <w:t>I padėti sudaryti sąlygas smulkiems žemės ūkio darbams (šiltnamių įrengimas, vandens aprūpinimo sistemų sukūrimas, sėklų bei dirvožemio gerinimas ir pateikimas).</w:t>
      </w:r>
    </w:p>
    <w:p w:rsidR="00512F29" w:rsidRPr="00512F29" w:rsidRDefault="00512F29" w:rsidP="00512F29">
      <w:pPr>
        <w:spacing w:line="360" w:lineRule="auto"/>
        <w:ind w:left="360"/>
        <w:jc w:val="mediumKashida"/>
        <w:rPr>
          <w:rFonts w:asciiTheme="majorHAnsi" w:hAnsiTheme="majorHAnsi"/>
          <w:sz w:val="24"/>
          <w:szCs w:val="24"/>
          <w:lang w:val="lt-LT" w:bidi="ar-JO"/>
        </w:rPr>
      </w:pPr>
      <w:r w:rsidRPr="00512F29">
        <w:rPr>
          <w:rFonts w:asciiTheme="majorHAnsi" w:hAnsiTheme="majorHAnsi"/>
          <w:sz w:val="24"/>
          <w:szCs w:val="24"/>
          <w:lang w:val="lt-LT" w:bidi="ar-JO"/>
        </w:rPr>
        <w:t>Parama kuriant prekybinius ir realizavimo santykius.</w:t>
      </w:r>
    </w:p>
    <w:p w:rsidR="00512F29" w:rsidRPr="00512F29" w:rsidRDefault="00512F29" w:rsidP="00512F29">
      <w:pPr>
        <w:spacing w:line="360" w:lineRule="auto"/>
        <w:ind w:left="360"/>
        <w:jc w:val="mediumKashida"/>
        <w:rPr>
          <w:rFonts w:asciiTheme="majorHAnsi" w:hAnsiTheme="majorHAnsi"/>
          <w:sz w:val="24"/>
          <w:szCs w:val="24"/>
          <w:lang w:val="lt-LT" w:bidi="ar-JO"/>
        </w:rPr>
      </w:pPr>
      <w:r w:rsidRPr="00512F29">
        <w:rPr>
          <w:rFonts w:asciiTheme="majorHAnsi" w:hAnsiTheme="majorHAnsi"/>
          <w:sz w:val="24"/>
          <w:szCs w:val="24"/>
          <w:lang w:val="lt-LT" w:bidi="ar-JO"/>
        </w:rPr>
        <w:t>II Sukurti sąlygas mažai kvalifikuotos darbo jėgos panaudojimui (mokymai, įrangos įdiegimas ir priežiūra).</w:t>
      </w:r>
    </w:p>
    <w:p w:rsidR="002A07BD" w:rsidRPr="002A07BD" w:rsidRDefault="002A07BD" w:rsidP="00512F29">
      <w:pPr>
        <w:spacing w:line="360" w:lineRule="auto"/>
        <w:jc w:val="both"/>
        <w:rPr>
          <w:rFonts w:ascii="Cambria" w:eastAsia="Cambria" w:hAnsi="Cambria"/>
          <w:sz w:val="24"/>
          <w:szCs w:val="24"/>
        </w:rPr>
      </w:pPr>
    </w:p>
    <w:p w:rsidR="002A07BD" w:rsidRDefault="002A07BD" w:rsidP="00512F29">
      <w:pPr>
        <w:spacing w:line="360" w:lineRule="auto"/>
      </w:pPr>
    </w:p>
    <w:sectPr w:rsidR="002A07BD" w:rsidSect="00102780">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F2" w:rsidRDefault="000C01F2" w:rsidP="002A07BD">
      <w:r>
        <w:separator/>
      </w:r>
    </w:p>
  </w:endnote>
  <w:endnote w:type="continuationSeparator" w:id="0">
    <w:p w:rsidR="000C01F2" w:rsidRDefault="000C01F2" w:rsidP="002A0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F2" w:rsidRDefault="000C01F2" w:rsidP="002A07BD">
      <w:r>
        <w:separator/>
      </w:r>
    </w:p>
  </w:footnote>
  <w:footnote w:type="continuationSeparator" w:id="0">
    <w:p w:rsidR="000C01F2" w:rsidRDefault="000C01F2" w:rsidP="002A0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BD" w:rsidRDefault="002A07BD" w:rsidP="00525993">
    <w:pPr>
      <w:pStyle w:val="Header"/>
      <w:jc w:val="center"/>
    </w:pPr>
    <w:r>
      <w:rPr>
        <w:noProof/>
      </w:rPr>
      <w:drawing>
        <wp:inline distT="0" distB="0" distL="0" distR="0">
          <wp:extent cx="1323975" cy="753373"/>
          <wp:effectExtent l="19050" t="0" r="9525" b="0"/>
          <wp:docPr id="1" name="Picture 1" descr="C:\Users\Kasia\Desktop\s4_1432216897_b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Desktop\s4_1432216897_blf.jpg"/>
                  <pic:cNvPicPr>
                    <a:picLocks noChangeAspect="1" noChangeArrowheads="1"/>
                  </pic:cNvPicPr>
                </pic:nvPicPr>
                <pic:blipFill>
                  <a:blip r:embed="rId1"/>
                  <a:srcRect/>
                  <a:stretch>
                    <a:fillRect/>
                  </a:stretch>
                </pic:blipFill>
                <pic:spPr bwMode="auto">
                  <a:xfrm>
                    <a:off x="0" y="0"/>
                    <a:ext cx="1323975" cy="753373"/>
                  </a:xfrm>
                  <a:prstGeom prst="rect">
                    <a:avLst/>
                  </a:prstGeom>
                  <a:noFill/>
                  <a:ln w="9525">
                    <a:noFill/>
                    <a:miter lim="800000"/>
                    <a:headEnd/>
                    <a:tailEnd/>
                  </a:ln>
                </pic:spPr>
              </pic:pic>
            </a:graphicData>
          </a:graphic>
        </wp:inline>
      </w:drawing>
    </w:r>
    <w:r>
      <w:rPr>
        <w:noProof/>
      </w:rPr>
      <w:drawing>
        <wp:inline distT="0" distB="0" distL="0" distR="0">
          <wp:extent cx="689927" cy="781050"/>
          <wp:effectExtent l="19050" t="0" r="0" b="0"/>
          <wp:docPr id="2" name="Picture 2" descr="C:\Users\Kasia\Desktop\UR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ia\Desktop\URM_logo.jpg"/>
                  <pic:cNvPicPr>
                    <a:picLocks noChangeAspect="1" noChangeArrowheads="1"/>
                  </pic:cNvPicPr>
                </pic:nvPicPr>
                <pic:blipFill>
                  <a:blip r:embed="rId2"/>
                  <a:srcRect/>
                  <a:stretch>
                    <a:fillRect/>
                  </a:stretch>
                </pic:blipFill>
                <pic:spPr bwMode="auto">
                  <a:xfrm>
                    <a:off x="0" y="0"/>
                    <a:ext cx="694338" cy="786044"/>
                  </a:xfrm>
                  <a:prstGeom prst="rect">
                    <a:avLst/>
                  </a:prstGeom>
                  <a:noFill/>
                  <a:ln w="9525">
                    <a:noFill/>
                    <a:miter lim="800000"/>
                    <a:headEnd/>
                    <a:tailEnd/>
                  </a:ln>
                </pic:spPr>
              </pic:pic>
            </a:graphicData>
          </a:graphic>
        </wp:inline>
      </w:drawing>
    </w:r>
    <w:r w:rsidR="00525993">
      <w:rPr>
        <w:rFonts w:ascii="Times New Roman" w:eastAsia="Times New Roman" w:hAnsi="Times New Roman" w:cs="Times New Roman"/>
        <w:noProof/>
        <w:color w:val="000000"/>
        <w:w w:val="0"/>
        <w:sz w:val="0"/>
      </w:rPr>
      <w:drawing>
        <wp:inline distT="0" distB="0" distL="0" distR="0">
          <wp:extent cx="1071563" cy="714375"/>
          <wp:effectExtent l="19050" t="0" r="0" b="0"/>
          <wp:docPr id="4" name="Picture 1" descr="C:\Users\Kasia\Desktop\lv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Desktop\lvb_logo.jpg"/>
                  <pic:cNvPicPr>
                    <a:picLocks noChangeAspect="1" noChangeArrowheads="1"/>
                  </pic:cNvPicPr>
                </pic:nvPicPr>
                <pic:blipFill>
                  <a:blip r:embed="rId3"/>
                  <a:srcRect/>
                  <a:stretch>
                    <a:fillRect/>
                  </a:stretch>
                </pic:blipFill>
                <pic:spPr bwMode="auto">
                  <a:xfrm>
                    <a:off x="0" y="0"/>
                    <a:ext cx="1071563"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7102"/>
    <w:multiLevelType w:val="hybridMultilevel"/>
    <w:tmpl w:val="8F60C3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75D0673"/>
    <w:multiLevelType w:val="hybridMultilevel"/>
    <w:tmpl w:val="15F0E604"/>
    <w:lvl w:ilvl="0" w:tplc="A77CD334">
      <w:start w:val="1"/>
      <w:numFmt w:val="lowerLetter"/>
      <w:lvlText w:val="%1)"/>
      <w:lvlJc w:val="left"/>
      <w:pPr>
        <w:tabs>
          <w:tab w:val="num" w:pos="825"/>
        </w:tabs>
        <w:ind w:left="825"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287101C"/>
    <w:multiLevelType w:val="hybridMultilevel"/>
    <w:tmpl w:val="9C3E6A1C"/>
    <w:lvl w:ilvl="0" w:tplc="1376F25E">
      <w:start w:val="1"/>
      <w:numFmt w:val="lowerLetter"/>
      <w:lvlText w:val="%1)"/>
      <w:lvlJc w:val="left"/>
      <w:pPr>
        <w:tabs>
          <w:tab w:val="num" w:pos="870"/>
        </w:tabs>
        <w:ind w:left="87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4D909F3"/>
    <w:multiLevelType w:val="hybridMultilevel"/>
    <w:tmpl w:val="BC9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2A07BD"/>
    <w:rsid w:val="000C01F2"/>
    <w:rsid w:val="00102780"/>
    <w:rsid w:val="00281304"/>
    <w:rsid w:val="002A07BD"/>
    <w:rsid w:val="00385857"/>
    <w:rsid w:val="004F375A"/>
    <w:rsid w:val="00512F29"/>
    <w:rsid w:val="00525993"/>
    <w:rsid w:val="00570598"/>
    <w:rsid w:val="0061322D"/>
    <w:rsid w:val="00673E17"/>
    <w:rsid w:val="00A83DDD"/>
    <w:rsid w:val="00E4319E"/>
    <w:rsid w:val="00F65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29"/>
    <w:pPr>
      <w:spacing w:after="0" w:line="240" w:lineRule="auto"/>
    </w:pPr>
    <w:rPr>
      <w:rFonts w:ascii="Calibri" w:eastAsia="Calibri" w:hAnsi="Calibri" w:cs="Arial"/>
      <w:sz w:val="20"/>
      <w:szCs w:val="20"/>
    </w:rPr>
  </w:style>
  <w:style w:type="paragraph" w:styleId="Heading2">
    <w:name w:val="heading 2"/>
    <w:basedOn w:val="Normal"/>
    <w:next w:val="Normal"/>
    <w:link w:val="Heading2Char"/>
    <w:uiPriority w:val="99"/>
    <w:qFormat/>
    <w:rsid w:val="00512F29"/>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7BD"/>
    <w:pPr>
      <w:tabs>
        <w:tab w:val="center" w:pos="4680"/>
        <w:tab w:val="right" w:pos="9360"/>
      </w:tabs>
    </w:pPr>
  </w:style>
  <w:style w:type="character" w:customStyle="1" w:styleId="HeaderChar">
    <w:name w:val="Header Char"/>
    <w:basedOn w:val="DefaultParagraphFont"/>
    <w:link w:val="Header"/>
    <w:uiPriority w:val="99"/>
    <w:semiHidden/>
    <w:rsid w:val="002A07BD"/>
    <w:rPr>
      <w:rFonts w:ascii="Calibri" w:eastAsia="Calibri" w:hAnsi="Calibri" w:cs="Arial"/>
      <w:sz w:val="20"/>
      <w:szCs w:val="20"/>
    </w:rPr>
  </w:style>
  <w:style w:type="paragraph" w:styleId="Footer">
    <w:name w:val="footer"/>
    <w:basedOn w:val="Normal"/>
    <w:link w:val="FooterChar"/>
    <w:uiPriority w:val="99"/>
    <w:semiHidden/>
    <w:unhideWhenUsed/>
    <w:rsid w:val="002A07BD"/>
    <w:pPr>
      <w:tabs>
        <w:tab w:val="center" w:pos="4680"/>
        <w:tab w:val="right" w:pos="9360"/>
      </w:tabs>
    </w:pPr>
  </w:style>
  <w:style w:type="character" w:customStyle="1" w:styleId="FooterChar">
    <w:name w:val="Footer Char"/>
    <w:basedOn w:val="DefaultParagraphFont"/>
    <w:link w:val="Footer"/>
    <w:uiPriority w:val="99"/>
    <w:semiHidden/>
    <w:rsid w:val="002A07BD"/>
    <w:rPr>
      <w:rFonts w:ascii="Calibri" w:eastAsia="Calibri" w:hAnsi="Calibri" w:cs="Arial"/>
      <w:sz w:val="20"/>
      <w:szCs w:val="20"/>
    </w:rPr>
  </w:style>
  <w:style w:type="paragraph" w:styleId="BalloonText">
    <w:name w:val="Balloon Text"/>
    <w:basedOn w:val="Normal"/>
    <w:link w:val="BalloonTextChar"/>
    <w:uiPriority w:val="99"/>
    <w:semiHidden/>
    <w:unhideWhenUsed/>
    <w:rsid w:val="002A07BD"/>
    <w:rPr>
      <w:rFonts w:ascii="Tahoma" w:hAnsi="Tahoma" w:cs="Tahoma"/>
      <w:sz w:val="16"/>
      <w:szCs w:val="16"/>
    </w:rPr>
  </w:style>
  <w:style w:type="character" w:customStyle="1" w:styleId="BalloonTextChar">
    <w:name w:val="Balloon Text Char"/>
    <w:basedOn w:val="DefaultParagraphFont"/>
    <w:link w:val="BalloonText"/>
    <w:uiPriority w:val="99"/>
    <w:semiHidden/>
    <w:rsid w:val="002A07BD"/>
    <w:rPr>
      <w:rFonts w:ascii="Tahoma" w:eastAsia="Calibri" w:hAnsi="Tahoma" w:cs="Tahoma"/>
      <w:sz w:val="16"/>
      <w:szCs w:val="16"/>
    </w:rPr>
  </w:style>
  <w:style w:type="character" w:customStyle="1" w:styleId="Heading2Char">
    <w:name w:val="Heading 2 Char"/>
    <w:basedOn w:val="DefaultParagraphFont"/>
    <w:link w:val="Heading2"/>
    <w:uiPriority w:val="99"/>
    <w:rsid w:val="00512F29"/>
    <w:rPr>
      <w:rFonts w:ascii="Cambria" w:eastAsia="Times New Roman" w:hAnsi="Cambria" w:cs="Times New Roman"/>
      <w:b/>
      <w:bCs/>
      <w:color w:val="4F81BD"/>
      <w:sz w:val="26"/>
      <w:szCs w:val="26"/>
    </w:rPr>
  </w:style>
  <w:style w:type="paragraph" w:styleId="ListParagraph">
    <w:name w:val="List Paragraph"/>
    <w:basedOn w:val="Normal"/>
    <w:uiPriority w:val="99"/>
    <w:qFormat/>
    <w:rsid w:val="00512F29"/>
    <w:pPr>
      <w:spacing w:after="200" w:line="276"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4</cp:revision>
  <dcterms:created xsi:type="dcterms:W3CDTF">2016-11-02T21:54:00Z</dcterms:created>
  <dcterms:modified xsi:type="dcterms:W3CDTF">2016-11-02T22:21:00Z</dcterms:modified>
</cp:coreProperties>
</file>